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Myriad Pro"/>
          <w:sz w:val="19"/>
          <w:szCs w:val="19"/>
          <w:lang w:val="en-US"/>
        </w:rPr>
      </w:pPr>
      <w:bookmarkStart w:id="0" w:name="_GoBack"/>
      <w:bookmarkEnd w:id="0"/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Vabatahtliku</w:t>
      </w:r>
      <w:proofErr w:type="spellEnd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töö</w:t>
      </w:r>
      <w:proofErr w:type="spellEnd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leping</w:t>
      </w:r>
      <w:proofErr w:type="spellEnd"/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Myriad Pro"/>
          <w:sz w:val="19"/>
          <w:szCs w:val="19"/>
          <w:lang w:val="en-US"/>
        </w:rPr>
      </w:pP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Sõlmitud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/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kuupäev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rPr>
          <w:rFonts w:ascii="Verdana" w:hAnsi="Verdana" w:cs="Myriad Pro"/>
          <w:sz w:val="19"/>
          <w:szCs w:val="19"/>
          <w:lang w:val="en-US"/>
        </w:rPr>
      </w:pP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Käsundiandja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/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juriidilise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isiku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nimi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/ (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registrikood</w:t>
      </w:r>
      <w:proofErr w:type="spellEnd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:</w:t>
      </w:r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,</w:t>
      </w:r>
      <w:proofErr w:type="gram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aadress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:</w:t>
      </w:r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r w:rsidRPr="00310C05">
        <w:rPr>
          <w:rFonts w:ascii="Verdana" w:hAnsi="Verdana" w:cs="Myriad Pro"/>
          <w:sz w:val="19"/>
          <w:szCs w:val="19"/>
          <w:lang w:val="en-US"/>
        </w:rPr>
        <w:t>) (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edaspidi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nimetatud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ühing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)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/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inimese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nimi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(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alaealise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isiku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korral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eestkostja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nimi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) / (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isikukood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: 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aadress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)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käsundisaaja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(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edaspidi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nimetatud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vabatahtlik</w:t>
      </w:r>
      <w:proofErr w:type="spellEnd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koos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nimetatud</w:t>
      </w:r>
      <w:proofErr w:type="spellEnd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 xml:space="preserve"> pool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pooled</w:t>
      </w:r>
      <w:r w:rsidRPr="00310C05">
        <w:rPr>
          <w:rFonts w:ascii="Verdana" w:hAnsi="Verdana" w:cs="Myriad Pro"/>
          <w:sz w:val="19"/>
          <w:szCs w:val="19"/>
          <w:lang w:val="en-US"/>
        </w:rPr>
        <w:t xml:space="preserve">),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sõlmivad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järgneva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lepingu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(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edaspidi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nimetatud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leping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):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 xml:space="preserve">1. </w:t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Lepingu</w:t>
      </w:r>
      <w:proofErr w:type="spellEnd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 xml:space="preserve"> </w:t>
      </w:r>
      <w:proofErr w:type="spellStart"/>
      <w:proofErr w:type="gram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ese</w:t>
      </w:r>
      <w:proofErr w:type="spellEnd"/>
      <w:proofErr w:type="gramEnd"/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1.1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osaleb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tegevuses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järgmisel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viisil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(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edaspidi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ülesanne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):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1.1.1. </w:t>
      </w:r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</w:t>
      </w:r>
      <w:proofErr w:type="spellStart"/>
      <w:proofErr w:type="gram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nt</w:t>
      </w:r>
      <w:proofErr w:type="spellEnd"/>
      <w:proofErr w:type="gram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projekti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või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ürituse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nimi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kus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vabatahtlik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töötab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1.1.2 </w:t>
      </w:r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konkreetsete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tegevuse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kirjeldus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1.1.3</w:t>
      </w:r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/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vajadusel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koolitusel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vmt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eelnevatel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kogunemistel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osalemine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/ 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1.2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aeg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on </w:t>
      </w:r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tähtaeg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perioodi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algus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proofErr w:type="gram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ja</w:t>
      </w:r>
      <w:proofErr w:type="spellEnd"/>
      <w:proofErr w:type="gram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lõpp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kindlad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päevad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kellaajad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vmt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 xml:space="preserve">1.3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koht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on </w:t>
      </w:r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kontori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aadress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ürituse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toimumiskoht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vastavalt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juhistele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oma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valida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vmt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/.</w:t>
      </w:r>
      <w:proofErr w:type="gramEnd"/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 xml:space="preserve">1.3.1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Ülesandeid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annab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kontaktisik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/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vabatahtlike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koordinaatori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vmt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nimed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/.</w:t>
      </w:r>
      <w:proofErr w:type="gramEnd"/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1.3.2 Pooled on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teadlikud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et</w:t>
      </w:r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tegemist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on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tegevusega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mille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puhul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eeldata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tasu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maksmist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muu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rahalise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hüve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andmist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.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loeta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töösuhteks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töölepingu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seaduse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mõistes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ega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töövõtulepingu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täitmiseks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võlaõigusseaduse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mõistes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.</w:t>
      </w:r>
      <w:proofErr w:type="gramEnd"/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 xml:space="preserve">2. </w:t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Ühingu</w:t>
      </w:r>
      <w:proofErr w:type="spellEnd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tegevus</w:t>
      </w:r>
      <w:proofErr w:type="spellEnd"/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2.1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: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2.1.1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annab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vabatahtlikule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täitmiseks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vajalikku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teavet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ja</w:t>
      </w:r>
      <w:proofErr w:type="spellEnd"/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töövahendid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; 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 2.1.1.1 /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vajadusel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loetleda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</w:t>
      </w:r>
      <w:proofErr w:type="spellStart"/>
      <w:proofErr w:type="gram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nt</w:t>
      </w:r>
      <w:proofErr w:type="spellEnd"/>
      <w:proofErr w:type="gram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ligipääs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ruumidele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, IT-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süsteemidele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side-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ja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transpordivahendid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(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liik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mark),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töötõend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vmt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2.1.2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teavitab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asjaoludest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mis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võivad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mõjutada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2.1.3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hüvitab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vabatahtlikule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tekkinud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järgmised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kulud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vastava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avalduse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ja</w:t>
      </w:r>
      <w:proofErr w:type="spellEnd"/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kuludokumentide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esitamise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järel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.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hüvita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lepingu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kehtivusaja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eel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järel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tekkinud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täitmisega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mitteseotud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kulusid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 2.1.3.1 </w:t>
      </w:r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kululiik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ühiku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või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koguse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piirmäärad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vmt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2.1.4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tagab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tegutsemiskoha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, -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keskkonna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ja</w:t>
      </w:r>
      <w:proofErr w:type="spellEnd"/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-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vahendite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ohutuse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sh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aja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mõistliku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korralduse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2.1.5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tagab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valdusse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antud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vara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kindlustamise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seda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võiks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tavaliselt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oodata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 </w:t>
      </w:r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2.1.5.1 /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vajadusel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loetleda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muud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võimalused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</w:t>
      </w:r>
      <w:proofErr w:type="spellStart"/>
      <w:proofErr w:type="gram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nt</w:t>
      </w:r>
      <w:proofErr w:type="spellEnd"/>
      <w:proofErr w:type="gram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kui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ühing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tagab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ise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toitlustuse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transpordi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majutuse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2.1.6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teha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avalikuks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ja</w:t>
      </w:r>
      <w:proofErr w:type="spellEnd"/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levitada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nime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temast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tööga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seoses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tehtud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foto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-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videomaterjale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tagades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samas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isikuandmete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töötlemise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nõuded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vastavalt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seadusele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.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2.2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Juhul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loob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käigus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autoriõigusega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kaitstavaid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teoseid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siis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saab</w:t>
      </w:r>
      <w:proofErr w:type="spellEnd"/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õiguse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kasutada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lihtlitsentsi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korras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kõiki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teose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varalisi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autoriõigusi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autoriõiguse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tähtaja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ulatuses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ning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ilma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territoriaalsete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piiranguteta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.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Teose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kasutamisel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viitab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nimele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.</w:t>
      </w:r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 xml:space="preserve">3. </w:t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Vabatahtliku</w:t>
      </w:r>
      <w:proofErr w:type="spellEnd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tegevus</w:t>
      </w:r>
      <w:proofErr w:type="spellEnd"/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3.1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: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lastRenderedPageBreak/>
        <w:t xml:space="preserve"> 3.1.1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saab</w:t>
      </w:r>
      <w:proofErr w:type="spellEnd"/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täitmiseks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ühingult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igakülgset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abi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; 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3.1.2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saab</w:t>
      </w:r>
      <w:proofErr w:type="spellEnd"/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ühingult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hüvitist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tekkinud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mõistlike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kulude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eest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on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selliste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kulude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hüvitamises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eelnevalt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kokku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leppinud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3.1.3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valida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aja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koha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ja</w:t>
      </w:r>
      <w:proofErr w:type="spellEnd"/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viisi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see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lähe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vastuollu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teiste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tegevusega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3.1.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võib</w:t>
      </w:r>
      <w:proofErr w:type="spellEnd"/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keelduda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tegevustest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mis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ületavad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mõistlikult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oodatava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tegevuse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määra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on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ebaseaduslikud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sobi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vabatahtlikule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tema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tõttu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on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ebaeetilised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3.1.5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täidab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antud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ülesannet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isiklikult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3.1.6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väldib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olukordi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millega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sattuda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ohtu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tema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ja</w:t>
      </w:r>
      <w:proofErr w:type="spellEnd"/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teiste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isikute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tervis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vara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; 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3.1.7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teavitab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ühingut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viivitamatult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asjaoludest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mis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võivad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mõjutada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3.1.8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hoiab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saladuses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käigus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teatavaks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saanud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ärisaladusi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isikuandmeid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konfidentsiaalset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informatsiooni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on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sellistest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asjaoludest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eelnevalt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teavitanud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 3.1.9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tagastab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töövahendid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jm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punktis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2.1.1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nimetatud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asjad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seitsme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päeva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jooksul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pärast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lepingu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lõppemist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 3.1.9.1 /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vajadusel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lisada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spetsiifilised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ülesanded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proofErr w:type="gram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ja</w:t>
      </w:r>
      <w:proofErr w:type="spellEnd"/>
      <w:proofErr w:type="gram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nende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igapäevane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täitmine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nt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kui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vabatahtliku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valduses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on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müüdav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kaup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v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sularaha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;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kui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vabatahtlik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peab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täitma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tööajatabelit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;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hüvitama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oma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valduses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oleva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kindlustatud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vara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omavastutuse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osa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vmt</w:t>
      </w:r>
      <w:proofErr w:type="spellEnd"/>
      <w:r w:rsidRPr="00310C05">
        <w:rPr>
          <w:rFonts w:ascii="Verdana" w:hAnsi="Verdana" w:cs="Myriad Pro"/>
          <w:i/>
          <w:iCs/>
          <w:sz w:val="19"/>
          <w:szCs w:val="19"/>
          <w:lang w:val="en-US"/>
        </w:rPr>
        <w:t>/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 xml:space="preserve">4. </w:t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Vastutus</w:t>
      </w:r>
      <w:proofErr w:type="spellEnd"/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 xml:space="preserve">4.1.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vastuta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kohustuste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eest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kolmandate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isikute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ees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.</w:t>
      </w:r>
      <w:proofErr w:type="gramEnd"/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4.2.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vastutab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ühingule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tekitatud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varalise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kahju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eest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juhul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tegevus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kahju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tekitamisel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oli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tahtlik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ning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vabatahtlikul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oli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võimalus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käituda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selliselt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et</w:t>
      </w:r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kahju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oleks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tekkinud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4.3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Ühing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vastuta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poolt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kolmandatele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isikutele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tekitatud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kahjude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eest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4.4 Pooled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järgivad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lepingu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ja</w:t>
      </w:r>
      <w:proofErr w:type="spellEnd"/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täitmisel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lisaks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kehtivatele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õigusaktidele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vabaühenduste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eetikakoodeksit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ning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tegevuse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head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tava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.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4.5 Pooled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võivad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lepingust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taganeda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teine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lepingupool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on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lepingust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tulenevat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kohustust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oluliselt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rikkunud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.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Lepingu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oluliseks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rikkumiseks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loetakse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eelkõige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olukorda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mille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tõttu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on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võimatu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ülesannet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tegemist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on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vabaühenduste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eetikakoodeksi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ning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vabatahtliku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tegevuse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hea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tava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(</w:t>
      </w:r>
      <w:hyperlink r:id="rId5" w:history="1">
        <w:r w:rsidRPr="00310C05">
          <w:rPr>
            <w:rFonts w:ascii="Verdana" w:hAnsi="Verdana" w:cs="Myriad Pro"/>
            <w:color w:val="000099"/>
            <w:sz w:val="19"/>
            <w:szCs w:val="19"/>
            <w:u w:val="single" w:color="000099"/>
            <w:lang w:val="en-US"/>
          </w:rPr>
          <w:t>www.vabatahtlikud.ee/et/Vabatahtlik-tegevus/Vabatahtliku-tegevuse-hea-tava</w:t>
        </w:r>
      </w:hyperlink>
      <w:r w:rsidRPr="00310C05">
        <w:rPr>
          <w:rFonts w:ascii="Verdana" w:hAnsi="Verdana" w:cs="Myriad Pro"/>
          <w:sz w:val="19"/>
          <w:szCs w:val="19"/>
          <w:lang w:val="en-US"/>
        </w:rPr>
        <w:t xml:space="preserve">)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olulise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rikkumisega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;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4.6 Pooled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võivad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lepingu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igal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ajal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ennetähtaegselt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öelda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. 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 xml:space="preserve">5. </w:t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Lõppsätted</w:t>
      </w:r>
      <w:proofErr w:type="spellEnd"/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5.1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Leping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jõustub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allakirjutamisest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ja</w:t>
      </w:r>
      <w:proofErr w:type="spellEnd"/>
      <w:proofErr w:type="gram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kehtib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kuni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pooled on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oma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kohustused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täitnud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lepingu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üles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öelnud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. </w:t>
      </w:r>
      <w:proofErr w:type="spellStart"/>
      <w:proofErr w:type="gramStart"/>
      <w:r w:rsidRPr="00310C05">
        <w:rPr>
          <w:rFonts w:ascii="Verdana" w:hAnsi="Verdana" w:cs="Myriad Pro"/>
          <w:sz w:val="19"/>
          <w:szCs w:val="19"/>
          <w:lang w:val="en-US"/>
        </w:rPr>
        <w:t>Lepingu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muudatused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tehakse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kirjalikult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kirjalikku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taasesitamist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võimaldavas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vormis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.</w:t>
      </w:r>
      <w:proofErr w:type="gramEnd"/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  <w:r w:rsidRPr="00310C05">
        <w:rPr>
          <w:rFonts w:ascii="Verdana" w:hAnsi="Verdana" w:cs="Myriad Pro"/>
          <w:sz w:val="19"/>
          <w:szCs w:val="19"/>
          <w:lang w:val="en-US"/>
        </w:rPr>
        <w:t xml:space="preserve">5.2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Poolte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vaidlused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lahendatakse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läbirääkimistega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,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nende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ebaõnnestumisel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Harju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 xml:space="preserve"> 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Maakohtus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.</w:t>
      </w: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Myriad Pro"/>
          <w:sz w:val="19"/>
          <w:szCs w:val="19"/>
          <w:lang w:val="en-US"/>
        </w:rPr>
      </w:pP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Myriad Pro"/>
          <w:sz w:val="19"/>
          <w:szCs w:val="19"/>
          <w:lang w:val="en-US"/>
        </w:rPr>
      </w:pPr>
    </w:p>
    <w:p w:rsidR="00536B9E" w:rsidRPr="00310C05" w:rsidRDefault="00536B9E" w:rsidP="00536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Myriad Pro"/>
          <w:b/>
          <w:bCs/>
          <w:sz w:val="19"/>
          <w:szCs w:val="19"/>
          <w:lang w:val="en-US"/>
        </w:rPr>
      </w:pP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Ühing</w:t>
      </w:r>
      <w:proofErr w:type="spellEnd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ab/>
      </w:r>
      <w:proofErr w:type="spellStart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Vabatahtlik</w:t>
      </w:r>
      <w:proofErr w:type="spellEnd"/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t> </w:t>
      </w:r>
      <w:r w:rsidRPr="00310C05">
        <w:rPr>
          <w:rFonts w:ascii="Verdana" w:hAnsi="Verdana" w:cs="Myriad Pro"/>
          <w:b/>
          <w:bCs/>
          <w:sz w:val="19"/>
          <w:szCs w:val="19"/>
          <w:lang w:val="en-US"/>
        </w:rPr>
        <w:br/>
      </w:r>
      <w:r w:rsidRPr="00310C05">
        <w:rPr>
          <w:rFonts w:ascii="Verdana" w:hAnsi="Verdana" w:cs="Myriad Pro"/>
          <w:sz w:val="19"/>
          <w:szCs w:val="19"/>
          <w:lang w:val="en-US"/>
        </w:rPr>
        <w:t>/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kontaktandmed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/</w:t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  <w:t>/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kontaktandmed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/ </w:t>
      </w:r>
      <w:r w:rsidRPr="00310C05">
        <w:rPr>
          <w:rFonts w:ascii="Verdana" w:hAnsi="Verdana" w:cs="Myriad Pro"/>
          <w:sz w:val="19"/>
          <w:szCs w:val="19"/>
          <w:lang w:val="en-US"/>
        </w:rPr>
        <w:br/>
        <w:t>/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allkiri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/</w:t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</w:r>
      <w:r w:rsidRPr="00310C05">
        <w:rPr>
          <w:rFonts w:ascii="Verdana" w:hAnsi="Verdana" w:cs="Myriad Pro"/>
          <w:sz w:val="19"/>
          <w:szCs w:val="19"/>
          <w:lang w:val="en-US"/>
        </w:rPr>
        <w:tab/>
        <w:t>/</w:t>
      </w:r>
      <w:proofErr w:type="spellStart"/>
      <w:r w:rsidRPr="00310C05">
        <w:rPr>
          <w:rFonts w:ascii="Verdana" w:hAnsi="Verdana" w:cs="Myriad Pro"/>
          <w:sz w:val="19"/>
          <w:szCs w:val="19"/>
          <w:lang w:val="en-US"/>
        </w:rPr>
        <w:t>allkiri</w:t>
      </w:r>
      <w:proofErr w:type="spellEnd"/>
      <w:r w:rsidRPr="00310C05">
        <w:rPr>
          <w:rFonts w:ascii="Verdana" w:hAnsi="Verdana" w:cs="Myriad Pro"/>
          <w:sz w:val="19"/>
          <w:szCs w:val="19"/>
          <w:lang w:val="en-US"/>
        </w:rPr>
        <w:t>/</w:t>
      </w:r>
    </w:p>
    <w:p w:rsidR="00593359" w:rsidRPr="00310C05" w:rsidRDefault="00593359">
      <w:pPr>
        <w:rPr>
          <w:rFonts w:ascii="Verdana" w:hAnsi="Verdana"/>
          <w:sz w:val="19"/>
          <w:szCs w:val="19"/>
        </w:rPr>
      </w:pPr>
    </w:p>
    <w:sectPr w:rsidR="00593359" w:rsidRPr="00310C05" w:rsidSect="00536B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9E"/>
    <w:rsid w:val="00310C05"/>
    <w:rsid w:val="00536B9E"/>
    <w:rsid w:val="00593359"/>
    <w:rsid w:val="00B4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AB8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abatahtlikud.ee/et/Vabatahtlik-tegevus/Vabatahtliku-tegevuse-hea-tav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4629</Characters>
  <Application>Microsoft Macintosh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 Rammo</dc:creator>
  <cp:keywords/>
  <dc:description/>
  <cp:lastModifiedBy>Alari Rammo</cp:lastModifiedBy>
  <cp:revision>1</cp:revision>
  <dcterms:created xsi:type="dcterms:W3CDTF">2013-04-09T13:50:00Z</dcterms:created>
  <dcterms:modified xsi:type="dcterms:W3CDTF">2013-04-09T13:52:00Z</dcterms:modified>
</cp:coreProperties>
</file>